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D13A" w14:textId="77777777" w:rsidR="008757DA" w:rsidRDefault="008757DA">
      <w:pPr>
        <w:spacing w:before="4"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309"/>
        <w:gridCol w:w="2601"/>
        <w:gridCol w:w="1320"/>
        <w:gridCol w:w="3975"/>
      </w:tblGrid>
      <w:tr w:rsidR="008757DA" w14:paraId="3D44A413" w14:textId="77777777">
        <w:trPr>
          <w:trHeight w:hRule="exact" w:val="2299"/>
        </w:trPr>
        <w:tc>
          <w:tcPr>
            <w:tcW w:w="4910" w:type="dxa"/>
            <w:gridSpan w:val="2"/>
            <w:tcBorders>
              <w:top w:val="single" w:sz="5" w:space="0" w:color="000000"/>
              <w:left w:val="single" w:sz="5" w:space="0" w:color="000000"/>
              <w:bottom w:val="single" w:sz="5" w:space="0" w:color="000000"/>
              <w:right w:val="single" w:sz="5" w:space="0" w:color="000000"/>
            </w:tcBorders>
          </w:tcPr>
          <w:p w14:paraId="3B0B6B66" w14:textId="77777777" w:rsidR="008757DA" w:rsidRDefault="00D71E89">
            <w:pPr>
              <w:spacing w:before="322"/>
              <w:ind w:left="849"/>
              <w:textAlignment w:val="baseline"/>
            </w:pPr>
            <w:r>
              <w:rPr>
                <w:noProof/>
              </w:rPr>
              <w:drawing>
                <wp:inline distT="0" distB="0" distL="0" distR="0" wp14:anchorId="49780C2A" wp14:editId="1D77872B">
                  <wp:extent cx="1950720" cy="9994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950720" cy="999490"/>
                          </a:xfrm>
                          <a:prstGeom prst="rect">
                            <a:avLst/>
                          </a:prstGeom>
                        </pic:spPr>
                      </pic:pic>
                    </a:graphicData>
                  </a:graphic>
                </wp:inline>
              </w:drawing>
            </w:r>
          </w:p>
        </w:tc>
        <w:tc>
          <w:tcPr>
            <w:tcW w:w="5295" w:type="dxa"/>
            <w:gridSpan w:val="2"/>
            <w:tcBorders>
              <w:top w:val="single" w:sz="5" w:space="0" w:color="000000"/>
              <w:left w:val="single" w:sz="5" w:space="0" w:color="000000"/>
              <w:bottom w:val="single" w:sz="5" w:space="0" w:color="000000"/>
              <w:right w:val="single" w:sz="5" w:space="0" w:color="000000"/>
            </w:tcBorders>
            <w:vAlign w:val="center"/>
          </w:tcPr>
          <w:p w14:paraId="4023ECEA" w14:textId="77777777" w:rsidR="008757DA" w:rsidRDefault="00D71E89">
            <w:pPr>
              <w:spacing w:before="1002" w:after="379" w:line="903" w:lineRule="exact"/>
              <w:ind w:left="757"/>
              <w:textAlignment w:val="baseline"/>
              <w:rPr>
                <w:rFonts w:ascii="Arial" w:eastAsia="Arial" w:hAnsi="Arial"/>
                <w:b/>
                <w:color w:val="000000"/>
                <w:sz w:val="28"/>
              </w:rPr>
            </w:pPr>
            <w:r>
              <w:rPr>
                <w:rFonts w:ascii="Arial" w:eastAsia="Arial" w:hAnsi="Arial"/>
                <w:b/>
                <w:color w:val="000000"/>
                <w:sz w:val="28"/>
              </w:rPr>
              <w:t>DESCRIPTIF DE FONCTION</w:t>
            </w:r>
          </w:p>
        </w:tc>
      </w:tr>
      <w:tr w:rsidR="008757DA" w14:paraId="0A281C5D" w14:textId="77777777">
        <w:trPr>
          <w:trHeight w:hRule="exact" w:val="355"/>
        </w:trPr>
        <w:tc>
          <w:tcPr>
            <w:tcW w:w="2309" w:type="dxa"/>
            <w:tcBorders>
              <w:top w:val="single" w:sz="5" w:space="0" w:color="000000"/>
              <w:left w:val="single" w:sz="5" w:space="0" w:color="000000"/>
              <w:bottom w:val="single" w:sz="5" w:space="0" w:color="000000"/>
              <w:right w:val="single" w:sz="5" w:space="0" w:color="000000"/>
            </w:tcBorders>
            <w:shd w:val="clear" w:color="8DB3E1" w:fill="8DB3E1"/>
            <w:vAlign w:val="center"/>
          </w:tcPr>
          <w:p w14:paraId="0D57494B" w14:textId="77777777" w:rsidR="008757DA" w:rsidRDefault="00D71E89">
            <w:pPr>
              <w:spacing w:before="70" w:after="50" w:line="225" w:lineRule="exact"/>
              <w:ind w:right="125"/>
              <w:jc w:val="right"/>
              <w:textAlignment w:val="baseline"/>
              <w:rPr>
                <w:rFonts w:ascii="Arial" w:eastAsia="Arial" w:hAnsi="Arial"/>
                <w:color w:val="000000"/>
                <w:sz w:val="20"/>
              </w:rPr>
            </w:pPr>
            <w:r>
              <w:rPr>
                <w:rFonts w:ascii="Arial" w:eastAsia="Arial" w:hAnsi="Arial"/>
                <w:color w:val="000000"/>
                <w:sz w:val="20"/>
              </w:rPr>
              <w:t>Company :</w:t>
            </w:r>
          </w:p>
        </w:tc>
        <w:tc>
          <w:tcPr>
            <w:tcW w:w="2601" w:type="dxa"/>
            <w:tcBorders>
              <w:top w:val="single" w:sz="5" w:space="0" w:color="000000"/>
              <w:left w:val="single" w:sz="5" w:space="0" w:color="000000"/>
              <w:bottom w:val="single" w:sz="5" w:space="0" w:color="000000"/>
              <w:right w:val="single" w:sz="5" w:space="0" w:color="000000"/>
            </w:tcBorders>
            <w:vAlign w:val="center"/>
          </w:tcPr>
          <w:p w14:paraId="68A3744C" w14:textId="77777777" w:rsidR="008757DA" w:rsidRDefault="00D71E89">
            <w:pPr>
              <w:spacing w:before="70" w:after="50" w:line="225" w:lineRule="exact"/>
              <w:ind w:left="115"/>
              <w:textAlignment w:val="baseline"/>
              <w:rPr>
                <w:rFonts w:ascii="Arial" w:eastAsia="Arial" w:hAnsi="Arial"/>
                <w:color w:val="000000"/>
                <w:sz w:val="20"/>
              </w:rPr>
            </w:pPr>
            <w:r>
              <w:rPr>
                <w:rFonts w:ascii="Arial" w:eastAsia="Arial" w:hAnsi="Arial"/>
                <w:color w:val="000000"/>
                <w:sz w:val="20"/>
              </w:rPr>
              <w:t>SMT - Africa</w:t>
            </w:r>
          </w:p>
        </w:tc>
        <w:tc>
          <w:tcPr>
            <w:tcW w:w="1320" w:type="dxa"/>
            <w:tcBorders>
              <w:top w:val="single" w:sz="5" w:space="0" w:color="000000"/>
              <w:left w:val="single" w:sz="5" w:space="0" w:color="000000"/>
              <w:bottom w:val="single" w:sz="5" w:space="0" w:color="000000"/>
              <w:right w:val="single" w:sz="5" w:space="0" w:color="000000"/>
            </w:tcBorders>
            <w:shd w:val="clear" w:color="8DB3E1" w:fill="8DB3E1"/>
            <w:vAlign w:val="center"/>
          </w:tcPr>
          <w:p w14:paraId="61B16E56" w14:textId="77777777" w:rsidR="008757DA" w:rsidRDefault="00D71E89">
            <w:pPr>
              <w:spacing w:before="70" w:after="50" w:line="225" w:lineRule="exact"/>
              <w:ind w:right="120"/>
              <w:jc w:val="right"/>
              <w:textAlignment w:val="baseline"/>
              <w:rPr>
                <w:rFonts w:ascii="Arial" w:eastAsia="Arial" w:hAnsi="Arial"/>
                <w:color w:val="000000"/>
                <w:sz w:val="20"/>
              </w:rPr>
            </w:pPr>
            <w:r>
              <w:rPr>
                <w:rFonts w:ascii="Arial" w:eastAsia="Arial" w:hAnsi="Arial"/>
                <w:color w:val="000000"/>
                <w:sz w:val="20"/>
              </w:rPr>
              <w:t>Job title :</w:t>
            </w:r>
          </w:p>
        </w:tc>
        <w:tc>
          <w:tcPr>
            <w:tcW w:w="3975" w:type="dxa"/>
            <w:tcBorders>
              <w:top w:val="single" w:sz="5" w:space="0" w:color="000000"/>
              <w:left w:val="single" w:sz="5" w:space="0" w:color="000000"/>
              <w:bottom w:val="single" w:sz="5" w:space="0" w:color="000000"/>
              <w:right w:val="single" w:sz="5" w:space="0" w:color="000000"/>
            </w:tcBorders>
            <w:vAlign w:val="center"/>
          </w:tcPr>
          <w:p w14:paraId="6EE2B434" w14:textId="77777777" w:rsidR="008757DA" w:rsidRDefault="00D71E89">
            <w:pPr>
              <w:spacing w:before="68" w:after="43" w:line="234" w:lineRule="exact"/>
              <w:ind w:left="115"/>
              <w:textAlignment w:val="baseline"/>
              <w:rPr>
                <w:rFonts w:ascii="Arial" w:eastAsia="Arial" w:hAnsi="Arial"/>
                <w:color w:val="000000"/>
                <w:sz w:val="20"/>
              </w:rPr>
            </w:pPr>
            <w:r>
              <w:rPr>
                <w:rFonts w:ascii="Arial" w:eastAsia="Arial" w:hAnsi="Arial"/>
                <w:color w:val="000000"/>
                <w:sz w:val="20"/>
              </w:rPr>
              <w:t xml:space="preserve">Site Manager </w:t>
            </w:r>
            <w:r>
              <w:rPr>
                <w:rFonts w:ascii="Arial" w:eastAsia="Arial" w:hAnsi="Arial"/>
                <w:color w:val="000000"/>
                <w:sz w:val="21"/>
              </w:rPr>
              <w:t xml:space="preserve">– </w:t>
            </w:r>
            <w:r>
              <w:rPr>
                <w:rFonts w:ascii="Arial" w:eastAsia="Arial" w:hAnsi="Arial"/>
                <w:color w:val="000000"/>
                <w:sz w:val="20"/>
              </w:rPr>
              <w:t>Mining</w:t>
            </w:r>
          </w:p>
        </w:tc>
      </w:tr>
      <w:tr w:rsidR="008757DA" w14:paraId="3438AEFC" w14:textId="77777777">
        <w:trPr>
          <w:trHeight w:hRule="exact" w:val="365"/>
        </w:trPr>
        <w:tc>
          <w:tcPr>
            <w:tcW w:w="2309" w:type="dxa"/>
            <w:tcBorders>
              <w:top w:val="single" w:sz="5" w:space="0" w:color="000000"/>
              <w:left w:val="single" w:sz="5" w:space="0" w:color="000000"/>
              <w:bottom w:val="single" w:sz="5" w:space="0" w:color="000000"/>
              <w:right w:val="single" w:sz="5" w:space="0" w:color="000000"/>
            </w:tcBorders>
            <w:shd w:val="clear" w:color="8DB3E1" w:fill="8DB3E1"/>
            <w:vAlign w:val="center"/>
          </w:tcPr>
          <w:p w14:paraId="3FD4DDCC" w14:textId="77777777" w:rsidR="008757DA" w:rsidRDefault="00D71E89">
            <w:pPr>
              <w:spacing w:before="70" w:after="55" w:line="225" w:lineRule="exact"/>
              <w:ind w:right="125"/>
              <w:jc w:val="right"/>
              <w:textAlignment w:val="baseline"/>
              <w:rPr>
                <w:rFonts w:ascii="Arial" w:eastAsia="Arial" w:hAnsi="Arial"/>
                <w:color w:val="000000"/>
                <w:sz w:val="20"/>
              </w:rPr>
            </w:pPr>
            <w:r>
              <w:rPr>
                <w:rFonts w:ascii="Arial" w:eastAsia="Arial" w:hAnsi="Arial"/>
                <w:color w:val="000000"/>
                <w:sz w:val="20"/>
              </w:rPr>
              <w:t>Updated :</w:t>
            </w:r>
          </w:p>
        </w:tc>
        <w:tc>
          <w:tcPr>
            <w:tcW w:w="2601" w:type="dxa"/>
            <w:tcBorders>
              <w:top w:val="single" w:sz="5" w:space="0" w:color="000000"/>
              <w:left w:val="single" w:sz="5" w:space="0" w:color="000000"/>
              <w:bottom w:val="single" w:sz="5" w:space="0" w:color="000000"/>
              <w:right w:val="single" w:sz="5" w:space="0" w:color="000000"/>
            </w:tcBorders>
            <w:vAlign w:val="center"/>
          </w:tcPr>
          <w:p w14:paraId="644DB5EC" w14:textId="77777777" w:rsidR="008757DA" w:rsidRDefault="00D71E89">
            <w:pPr>
              <w:spacing w:before="70" w:after="55" w:line="225" w:lineRule="exact"/>
              <w:ind w:left="115"/>
              <w:textAlignment w:val="baseline"/>
              <w:rPr>
                <w:rFonts w:ascii="Arial" w:eastAsia="Arial" w:hAnsi="Arial"/>
                <w:color w:val="000000"/>
                <w:sz w:val="20"/>
              </w:rPr>
            </w:pPr>
            <w:r>
              <w:rPr>
                <w:rFonts w:ascii="Arial" w:eastAsia="Arial" w:hAnsi="Arial"/>
                <w:color w:val="000000"/>
                <w:sz w:val="20"/>
              </w:rPr>
              <w:t>2023</w:t>
            </w:r>
          </w:p>
        </w:tc>
        <w:tc>
          <w:tcPr>
            <w:tcW w:w="1320" w:type="dxa"/>
            <w:tcBorders>
              <w:top w:val="single" w:sz="5" w:space="0" w:color="000000"/>
              <w:left w:val="single" w:sz="5" w:space="0" w:color="000000"/>
              <w:bottom w:val="single" w:sz="5" w:space="0" w:color="000000"/>
              <w:right w:val="single" w:sz="5" w:space="0" w:color="000000"/>
            </w:tcBorders>
            <w:shd w:val="clear" w:color="8DB3E1" w:fill="8DB3E1"/>
            <w:vAlign w:val="center"/>
          </w:tcPr>
          <w:p w14:paraId="1448FE45" w14:textId="77777777" w:rsidR="008757DA" w:rsidRDefault="00D71E89">
            <w:pPr>
              <w:spacing w:before="70" w:after="55" w:line="225" w:lineRule="exact"/>
              <w:ind w:right="120"/>
              <w:jc w:val="right"/>
              <w:textAlignment w:val="baseline"/>
              <w:rPr>
                <w:rFonts w:ascii="Arial" w:eastAsia="Arial" w:hAnsi="Arial"/>
                <w:color w:val="000000"/>
                <w:sz w:val="20"/>
              </w:rPr>
            </w:pPr>
            <w:r>
              <w:rPr>
                <w:rFonts w:ascii="Arial" w:eastAsia="Arial" w:hAnsi="Arial"/>
                <w:color w:val="000000"/>
                <w:sz w:val="20"/>
              </w:rPr>
              <w:t>Category :</w:t>
            </w:r>
          </w:p>
        </w:tc>
        <w:tc>
          <w:tcPr>
            <w:tcW w:w="3975" w:type="dxa"/>
            <w:tcBorders>
              <w:top w:val="single" w:sz="5" w:space="0" w:color="000000"/>
              <w:left w:val="single" w:sz="5" w:space="0" w:color="000000"/>
              <w:bottom w:val="single" w:sz="5" w:space="0" w:color="000000"/>
              <w:right w:val="single" w:sz="5" w:space="0" w:color="000000"/>
            </w:tcBorders>
            <w:vAlign w:val="center"/>
          </w:tcPr>
          <w:p w14:paraId="4F4F673F" w14:textId="77777777" w:rsidR="008757DA" w:rsidRDefault="00D71E89">
            <w:pPr>
              <w:spacing w:before="70" w:after="55" w:line="225" w:lineRule="exact"/>
              <w:ind w:left="115"/>
              <w:textAlignment w:val="baseline"/>
              <w:rPr>
                <w:rFonts w:ascii="Arial" w:eastAsia="Arial" w:hAnsi="Arial"/>
                <w:color w:val="000000"/>
                <w:sz w:val="20"/>
              </w:rPr>
            </w:pPr>
            <w:r>
              <w:rPr>
                <w:rFonts w:ascii="Arial" w:eastAsia="Arial" w:hAnsi="Arial"/>
                <w:color w:val="000000"/>
                <w:sz w:val="20"/>
              </w:rPr>
              <w:t>After sales</w:t>
            </w:r>
          </w:p>
        </w:tc>
      </w:tr>
    </w:tbl>
    <w:p w14:paraId="7D9DBDE1" w14:textId="77777777" w:rsidR="008757DA" w:rsidRDefault="008757DA">
      <w:pPr>
        <w:spacing w:after="513" w:line="20" w:lineRule="exact"/>
      </w:pPr>
    </w:p>
    <w:p w14:paraId="6F13AE9F" w14:textId="77777777" w:rsidR="008757DA" w:rsidRDefault="008757DA">
      <w:pPr>
        <w:rPr>
          <w:lang w:val="fr-BE"/>
        </w:rPr>
      </w:pPr>
    </w:p>
    <w:p w14:paraId="7CFF4F5F" w14:textId="77777777" w:rsidR="00D71E89" w:rsidRDefault="00D71E89">
      <w:pPr>
        <w:rPr>
          <w:lang w:val="fr-BE"/>
        </w:rPr>
      </w:pPr>
    </w:p>
    <w:p w14:paraId="576A11B4" w14:textId="77777777" w:rsidR="00D71E89" w:rsidRPr="00D71E89" w:rsidRDefault="00D71E89" w:rsidP="00D71E89">
      <w:pPr>
        <w:rPr>
          <w:lang w:val="fr-BE"/>
        </w:rPr>
      </w:pPr>
      <w:r w:rsidRPr="00D71E89">
        <w:rPr>
          <w:lang w:val="fr-BE"/>
        </w:rPr>
        <w:t xml:space="preserve">Le poste de </w:t>
      </w:r>
      <w:r w:rsidRPr="00D71E89">
        <w:rPr>
          <w:b/>
          <w:bCs/>
          <w:lang w:val="fr-BE"/>
        </w:rPr>
        <w:t>Responsable de Site Minier</w:t>
      </w:r>
      <w:r w:rsidRPr="00D71E89">
        <w:rPr>
          <w:lang w:val="fr-BE"/>
        </w:rPr>
        <w:t xml:space="preserve"> chez SMT Africa implique la gestion sécurisée et efficace d'une flotte d'équipements en planifiant, organisant et supervisant les activités de l'équipe de maintenance. Ce rôle relève du Directeur Après-Vente Mining de SMT et supervise l'équipe de maintenance par l'intermédiaire des superviseurs de quart, des planificateurs de maintenance (lorsqu'ils ne sont pas fournis par le client), de l'agent SHEQ, du formateur technique, de l'analyste de surveillance conditionnelle, du responsable d'entrepôt (lorsqu'il n'est pas fourni par le client) et des administrateurs en ressources humaines, garantie et logistique. Le poste peut être soutenu par un spécialiste produit de l'OEM (si assigné par l'OEM). Il interagit quotidiennement avec les équipes de planification et d'exploitation du client afin d'ajuster le plan de maintenance de la flotte et de revoir les indicateurs clés de performance (KPI) de la maintenance de la flotte, ainsi que les métriques de sécurité.</w:t>
      </w:r>
    </w:p>
    <w:p w14:paraId="6D4D1B7F" w14:textId="77777777" w:rsidR="00D71E89" w:rsidRDefault="00D71E89" w:rsidP="00D71E89">
      <w:pPr>
        <w:rPr>
          <w:b/>
          <w:bCs/>
          <w:lang w:val="fr-BE"/>
        </w:rPr>
      </w:pPr>
    </w:p>
    <w:p w14:paraId="1B36069A" w14:textId="353C81D2" w:rsidR="00D71E89" w:rsidRPr="00D71E89" w:rsidRDefault="00D71E89" w:rsidP="00D71E89">
      <w:pPr>
        <w:rPr>
          <w:lang w:val="fr-BE"/>
        </w:rPr>
      </w:pPr>
      <w:r w:rsidRPr="00D71E89">
        <w:rPr>
          <w:b/>
          <w:bCs/>
          <w:lang w:val="fr-BE"/>
        </w:rPr>
        <w:t>A. Objectifs liés au poste</w:t>
      </w:r>
    </w:p>
    <w:p w14:paraId="02A7FE1E" w14:textId="77777777" w:rsidR="00D71E89" w:rsidRPr="00D71E89" w:rsidRDefault="00D71E89" w:rsidP="00D71E89">
      <w:pPr>
        <w:rPr>
          <w:lang w:val="fr-BE"/>
        </w:rPr>
      </w:pPr>
      <w:r w:rsidRPr="00D71E89">
        <w:rPr>
          <w:lang w:val="fr-BE"/>
        </w:rPr>
        <w:t>Le Responsable de Site Minier est chargé d'assurer le fonctionnement sûr et efficace de la flotte en planifiant, organisant et supervisant les activités de l'équipe de maintenance. Ce rôle implique une interaction quotidienne avec les équipes de planification et d'exploitation du client pour ajuster le plan de maintenance de la flotte et examiner les indicateurs clés de performance (KPI) de la maintenance, ainsi que les mesures de sécurité.</w:t>
      </w:r>
    </w:p>
    <w:p w14:paraId="34297364" w14:textId="77777777" w:rsidR="00D71E89" w:rsidRDefault="00D71E89" w:rsidP="00D71E89">
      <w:pPr>
        <w:rPr>
          <w:b/>
          <w:bCs/>
          <w:lang w:val="fr-BE"/>
        </w:rPr>
      </w:pPr>
    </w:p>
    <w:p w14:paraId="01CC72E9" w14:textId="3AE9BDF7" w:rsidR="00D71E89" w:rsidRPr="00D71E89" w:rsidRDefault="00D71E89" w:rsidP="00D71E89">
      <w:pPr>
        <w:rPr>
          <w:lang w:val="fr-BE"/>
        </w:rPr>
      </w:pPr>
      <w:r w:rsidRPr="00D71E89">
        <w:rPr>
          <w:b/>
          <w:bCs/>
          <w:lang w:val="fr-BE"/>
        </w:rPr>
        <w:t>B. Principales responsabilités et tâches associées</w:t>
      </w:r>
    </w:p>
    <w:p w14:paraId="1B60F5FE" w14:textId="77777777" w:rsidR="00D71E89" w:rsidRPr="00D71E89" w:rsidRDefault="00D71E89" w:rsidP="00D71E89">
      <w:pPr>
        <w:numPr>
          <w:ilvl w:val="0"/>
          <w:numId w:val="6"/>
        </w:numPr>
        <w:rPr>
          <w:lang w:val="fr-BE"/>
        </w:rPr>
      </w:pPr>
      <w:r w:rsidRPr="00D71E89">
        <w:rPr>
          <w:b/>
          <w:bCs/>
          <w:lang w:val="fr-BE"/>
        </w:rPr>
        <w:t>Coordination de l'équipe de maintenance</w:t>
      </w:r>
      <w:r w:rsidRPr="00D71E89">
        <w:rPr>
          <w:lang w:val="fr-BE"/>
        </w:rPr>
        <w:t xml:space="preserve"> : Gérer et soutenir les superviseurs de quart pour planifier et organiser les activités des quarts de travail, y compris le déploiement des équipements, l'affectation du personnel et la priorisation des tâches. Coordonner avec diverses équipes, telles que les opérations, la maintenance et la logistique, pour assurer le bon déroulement des opérations et une utilisation efficace des ressources. Communiquer les objectifs, cibles et priorités des quarts de travail au personnel et s'assurer de leur compréhension et adhésion.</w:t>
      </w:r>
    </w:p>
    <w:p w14:paraId="71C9D53A" w14:textId="77777777" w:rsidR="00D71E89" w:rsidRPr="00D71E89" w:rsidRDefault="00D71E89" w:rsidP="00D71E89">
      <w:pPr>
        <w:numPr>
          <w:ilvl w:val="0"/>
          <w:numId w:val="6"/>
        </w:numPr>
        <w:rPr>
          <w:lang w:val="fr-BE"/>
        </w:rPr>
      </w:pPr>
      <w:r w:rsidRPr="00D71E89">
        <w:rPr>
          <w:b/>
          <w:bCs/>
          <w:lang w:val="fr-BE"/>
        </w:rPr>
        <w:t>Conformité en matière de sécurité</w:t>
      </w:r>
      <w:r w:rsidRPr="00D71E89">
        <w:rPr>
          <w:lang w:val="fr-BE"/>
        </w:rPr>
        <w:t xml:space="preserve"> : Appliquer les réglementations, protocoles et meilleures pratiques en matière de sécurité pour maintenir un environnement de travail sécurisé. Mener des inspections et audits de sécurité réguliers, en identifiant et traitant les dangers potentiels ou les problèmes de non-conformité. Promouvoir une culture de la sécurité et fournir des formations et des orientations en matière de sécurité au personnel des quarts de travail.</w:t>
      </w:r>
    </w:p>
    <w:p w14:paraId="670600F6" w14:textId="77777777" w:rsidR="00D71E89" w:rsidRPr="00D71E89" w:rsidRDefault="00D71E89" w:rsidP="00D71E89">
      <w:pPr>
        <w:numPr>
          <w:ilvl w:val="0"/>
          <w:numId w:val="6"/>
        </w:numPr>
        <w:rPr>
          <w:lang w:val="fr-BE"/>
        </w:rPr>
      </w:pPr>
      <w:r w:rsidRPr="00D71E89">
        <w:rPr>
          <w:b/>
          <w:bCs/>
          <w:lang w:val="fr-BE"/>
        </w:rPr>
        <w:t>Suivi des performances</w:t>
      </w:r>
      <w:r w:rsidRPr="00D71E89">
        <w:rPr>
          <w:lang w:val="fr-BE"/>
        </w:rPr>
        <w:t xml:space="preserve"> : Surveiller les performances des quarts de travail par rapport aux objectifs de fiabilité, à l'utilisation des équipements et aux calendriers opérationnels. Identifier les goulets d'étranglement, les inefficacités et les écarts par rapport aux plans, et prendre les mesures appropriées pour optimiser les performances. Analyser les données et métriques de fiabilité pour identifier les tendances et les domaines à améliorer.</w:t>
      </w:r>
    </w:p>
    <w:p w14:paraId="6C5FD6F9" w14:textId="77777777" w:rsidR="00D71E89" w:rsidRPr="00D71E89" w:rsidRDefault="00D71E89" w:rsidP="00D71E89">
      <w:pPr>
        <w:numPr>
          <w:ilvl w:val="0"/>
          <w:numId w:val="6"/>
        </w:numPr>
        <w:rPr>
          <w:lang w:val="fr-BE"/>
        </w:rPr>
      </w:pPr>
      <w:r w:rsidRPr="00D71E89">
        <w:rPr>
          <w:b/>
          <w:bCs/>
          <w:lang w:val="fr-BE"/>
        </w:rPr>
        <w:t>Leadership et gestion d'équipe</w:t>
      </w:r>
      <w:r w:rsidRPr="00D71E89">
        <w:rPr>
          <w:lang w:val="fr-BE"/>
        </w:rPr>
        <w:t xml:space="preserve"> : Fournir leadership, orientation et soutien au personnel des quarts de travail, en favorisant le travail d'équipe et un environnement de travail positif. Conduire des réunions de quart, des discussions sur les outils et des évaluations de performance pour communiquer les attentes, aborder les préoccupations et fournir des retours d'information. Faciliter la résolution de problèmes et de conflits au sein de l'équipe.</w:t>
      </w:r>
    </w:p>
    <w:p w14:paraId="33C70718" w14:textId="77777777" w:rsidR="00D71E89" w:rsidRPr="00D71E89" w:rsidRDefault="00D71E89" w:rsidP="00D71E89">
      <w:pPr>
        <w:numPr>
          <w:ilvl w:val="0"/>
          <w:numId w:val="6"/>
        </w:numPr>
        <w:rPr>
          <w:lang w:val="fr-BE"/>
        </w:rPr>
      </w:pPr>
      <w:r w:rsidRPr="00D71E89">
        <w:rPr>
          <w:b/>
          <w:bCs/>
          <w:lang w:val="fr-BE"/>
        </w:rPr>
        <w:t>Collaboration et communication</w:t>
      </w:r>
      <w:r w:rsidRPr="00D71E89">
        <w:rPr>
          <w:lang w:val="fr-BE"/>
        </w:rPr>
        <w:t xml:space="preserve"> : Collaborer avec les responsables de site, les ingénieurs et autres parties prenantes pour aligner les activités des quarts de travail sur les objectifs opérationnels globaux. Communiquer efficacement avec diverses équipes et départements pour assurer une coordination fluide et un flux </w:t>
      </w:r>
      <w:r w:rsidRPr="00D71E89">
        <w:rPr>
          <w:lang w:val="fr-BE"/>
        </w:rPr>
        <w:lastRenderedPageBreak/>
        <w:t>d'informations. Élever les problèmes ou préoccupations aux personnes appropriées et participer à des réunions régulières pour fournir des mises à jour et des perspectives.</w:t>
      </w:r>
    </w:p>
    <w:p w14:paraId="7567E846" w14:textId="77777777" w:rsidR="00D71E89" w:rsidRPr="00D71E89" w:rsidRDefault="00D71E89" w:rsidP="00D71E89">
      <w:pPr>
        <w:numPr>
          <w:ilvl w:val="0"/>
          <w:numId w:val="6"/>
        </w:numPr>
        <w:rPr>
          <w:lang w:val="fr-BE"/>
        </w:rPr>
      </w:pPr>
      <w:r w:rsidRPr="00D71E89">
        <w:rPr>
          <w:b/>
          <w:bCs/>
          <w:lang w:val="fr-BE"/>
        </w:rPr>
        <w:t>Amélioration des processus</w:t>
      </w:r>
      <w:r w:rsidRPr="00D71E89">
        <w:rPr>
          <w:lang w:val="fr-BE"/>
        </w:rPr>
        <w:t xml:space="preserve"> : Évaluer en continu les processus et procédures des quarts de travail pour identifier les opportunités d'optimisation et de gains d'efficacité. Collaborer avec les équipes d'ingénierie et de maintenance pour mettre en œuvre des améliorations de processus et des avancées technologiques. Recueillir les retours d'information du personnel des quarts de travail et contribuer au développement des meilleures pratiques et des procédures opérationnelles standard.</w:t>
      </w:r>
    </w:p>
    <w:p w14:paraId="2E46CD5A" w14:textId="77777777" w:rsidR="00D71E89" w:rsidRDefault="00D71E89" w:rsidP="00D71E89">
      <w:pPr>
        <w:numPr>
          <w:ilvl w:val="0"/>
          <w:numId w:val="6"/>
        </w:numPr>
        <w:rPr>
          <w:lang w:val="fr-BE"/>
        </w:rPr>
      </w:pPr>
      <w:r w:rsidRPr="00D71E89">
        <w:rPr>
          <w:b/>
          <w:bCs/>
          <w:lang w:val="fr-BE"/>
        </w:rPr>
        <w:t>Documentation et rapports</w:t>
      </w:r>
      <w:r w:rsidRPr="00D71E89">
        <w:rPr>
          <w:lang w:val="fr-BE"/>
        </w:rPr>
        <w:t xml:space="preserve"> : Maintenir des enregistrements précis des activités des quarts de travail, y compris les données de fiabilité, les incidents, les besoins de maintenance et les rapports de quart. Générer des rapports et des présentations pour fournir des perspectives sur les performances des quarts de travail, les défis et les initiatives d'amélioration.</w:t>
      </w:r>
    </w:p>
    <w:p w14:paraId="111FDC56" w14:textId="77777777" w:rsidR="00D71E89" w:rsidRPr="00D71E89" w:rsidRDefault="00D71E89" w:rsidP="00D71E89">
      <w:pPr>
        <w:numPr>
          <w:ilvl w:val="0"/>
          <w:numId w:val="6"/>
        </w:numPr>
        <w:rPr>
          <w:lang w:val="fr-BE"/>
        </w:rPr>
      </w:pPr>
    </w:p>
    <w:p w14:paraId="6D40BC5A" w14:textId="77777777" w:rsidR="00D71E89" w:rsidRPr="00D71E89" w:rsidRDefault="00D71E89" w:rsidP="00D71E89">
      <w:pPr>
        <w:rPr>
          <w:lang w:val="fr-BE"/>
        </w:rPr>
      </w:pPr>
      <w:r w:rsidRPr="00D71E89">
        <w:rPr>
          <w:b/>
          <w:bCs/>
          <w:lang w:val="fr-BE"/>
        </w:rPr>
        <w:t>C. Interactions internes et externes</w:t>
      </w:r>
    </w:p>
    <w:p w14:paraId="6786AD8C" w14:textId="77777777" w:rsidR="00D71E89" w:rsidRPr="00D71E89" w:rsidRDefault="00D71E89" w:rsidP="00D71E89">
      <w:pPr>
        <w:numPr>
          <w:ilvl w:val="0"/>
          <w:numId w:val="7"/>
        </w:numPr>
        <w:rPr>
          <w:lang w:val="fr-BE"/>
        </w:rPr>
      </w:pPr>
      <w:r w:rsidRPr="00D71E89">
        <w:rPr>
          <w:b/>
          <w:bCs/>
          <w:lang w:val="fr-BE"/>
        </w:rPr>
        <w:t>Sous la responsabilité de</w:t>
      </w:r>
      <w:r w:rsidRPr="00D71E89">
        <w:rPr>
          <w:lang w:val="fr-BE"/>
        </w:rPr>
        <w:t xml:space="preserve"> : Directeur Après-Vente Mining</w:t>
      </w:r>
    </w:p>
    <w:p w14:paraId="34BCC095" w14:textId="77777777" w:rsidR="00D71E89" w:rsidRPr="00D71E89" w:rsidRDefault="00D71E89" w:rsidP="00D71E89">
      <w:pPr>
        <w:numPr>
          <w:ilvl w:val="0"/>
          <w:numId w:val="7"/>
        </w:numPr>
        <w:rPr>
          <w:lang w:val="fr-BE"/>
        </w:rPr>
      </w:pPr>
      <w:r w:rsidRPr="00D71E89">
        <w:rPr>
          <w:b/>
          <w:bCs/>
          <w:lang w:val="fr-BE"/>
        </w:rPr>
        <w:t>Coordination interne</w:t>
      </w:r>
      <w:r w:rsidRPr="00D71E89">
        <w:rPr>
          <w:lang w:val="fr-BE"/>
        </w:rPr>
        <w:t xml:space="preserve"> : SMT Africa ou la branche locale de SMT</w:t>
      </w:r>
    </w:p>
    <w:p w14:paraId="4834DD1C" w14:textId="77777777" w:rsidR="00D71E89" w:rsidRPr="00D71E89" w:rsidRDefault="00D71E89" w:rsidP="00D71E89">
      <w:pPr>
        <w:numPr>
          <w:ilvl w:val="0"/>
          <w:numId w:val="7"/>
        </w:numPr>
        <w:rPr>
          <w:lang w:val="fr-BE"/>
        </w:rPr>
      </w:pPr>
      <w:r w:rsidRPr="00D71E89">
        <w:rPr>
          <w:b/>
          <w:bCs/>
          <w:lang w:val="fr-BE"/>
        </w:rPr>
        <w:t>Principaux contacts internes</w:t>
      </w:r>
      <w:r w:rsidRPr="00D71E89">
        <w:rPr>
          <w:lang w:val="fr-BE"/>
        </w:rPr>
        <w:t xml:space="preserve"> : Département Technique</w:t>
      </w:r>
    </w:p>
    <w:p w14:paraId="2F1351DE" w14:textId="77777777" w:rsidR="00D71E89" w:rsidRPr="00D71E89" w:rsidRDefault="00D71E89" w:rsidP="00D71E89">
      <w:pPr>
        <w:numPr>
          <w:ilvl w:val="0"/>
          <w:numId w:val="7"/>
        </w:numPr>
        <w:rPr>
          <w:lang w:val="fr-BE"/>
        </w:rPr>
      </w:pPr>
      <w:r w:rsidRPr="00D71E89">
        <w:rPr>
          <w:b/>
          <w:bCs/>
          <w:lang w:val="fr-BE"/>
        </w:rPr>
        <w:t>Principaux contacts externes</w:t>
      </w:r>
      <w:r w:rsidRPr="00D71E89">
        <w:rPr>
          <w:lang w:val="fr-BE"/>
        </w:rPr>
        <w:t xml:space="preserve"> : Opérations du client et département</w:t>
      </w:r>
    </w:p>
    <w:p w14:paraId="5E609966" w14:textId="77777777" w:rsidR="00D71E89" w:rsidRDefault="00D71E89" w:rsidP="00D71E89">
      <w:pPr>
        <w:rPr>
          <w:b/>
          <w:bCs/>
          <w:lang w:val="fr-BE"/>
        </w:rPr>
      </w:pPr>
    </w:p>
    <w:p w14:paraId="13386B32" w14:textId="0E54983A" w:rsidR="00D71E89" w:rsidRPr="00D71E89" w:rsidRDefault="00D71E89" w:rsidP="00D71E89">
      <w:pPr>
        <w:rPr>
          <w:lang w:val="fr-BE"/>
        </w:rPr>
      </w:pPr>
      <w:r w:rsidRPr="00D71E89">
        <w:rPr>
          <w:b/>
          <w:bCs/>
          <w:lang w:val="fr-BE"/>
        </w:rPr>
        <w:t>D. Compétences techniques et comportementales</w:t>
      </w:r>
    </w:p>
    <w:p w14:paraId="767523D2" w14:textId="77777777" w:rsidR="00D71E89" w:rsidRPr="00D71E89" w:rsidRDefault="00D71E89" w:rsidP="00D71E89">
      <w:pPr>
        <w:numPr>
          <w:ilvl w:val="0"/>
          <w:numId w:val="8"/>
        </w:numPr>
        <w:rPr>
          <w:lang w:val="fr-BE"/>
        </w:rPr>
      </w:pPr>
      <w:r w:rsidRPr="00D71E89">
        <w:rPr>
          <w:b/>
          <w:bCs/>
          <w:lang w:val="fr-BE"/>
        </w:rPr>
        <w:t>Formation et expérience</w:t>
      </w:r>
      <w:r w:rsidRPr="00D71E89">
        <w:rPr>
          <w:lang w:val="fr-BE"/>
        </w:rPr>
        <w:t xml:space="preserve"> :</w:t>
      </w:r>
    </w:p>
    <w:p w14:paraId="06EC1425" w14:textId="77777777" w:rsidR="00D71E89" w:rsidRPr="00D71E89" w:rsidRDefault="00D71E89" w:rsidP="00D71E89">
      <w:pPr>
        <w:numPr>
          <w:ilvl w:val="1"/>
          <w:numId w:val="8"/>
        </w:numPr>
        <w:rPr>
          <w:lang w:val="fr-BE"/>
        </w:rPr>
      </w:pPr>
      <w:r w:rsidRPr="00D71E89">
        <w:rPr>
          <w:lang w:val="fr-BE"/>
        </w:rPr>
        <w:t>Minimum 3 à 5 ans d'expérience en tant que Responsable de Site Minier.</w:t>
      </w:r>
    </w:p>
    <w:p w14:paraId="29CD95CD" w14:textId="77777777" w:rsidR="00D71E89" w:rsidRPr="00D71E89" w:rsidRDefault="00D71E89" w:rsidP="00D71E89">
      <w:pPr>
        <w:numPr>
          <w:ilvl w:val="1"/>
          <w:numId w:val="8"/>
        </w:numPr>
        <w:rPr>
          <w:lang w:val="fr-BE"/>
        </w:rPr>
      </w:pPr>
      <w:r w:rsidRPr="00D71E89">
        <w:rPr>
          <w:lang w:val="fr-BE"/>
        </w:rPr>
        <w:t>Minimum 5 à 7 ans d'expérience pratique en maintenance, révision et dépannage des modèles d'équipements de la flotte confiée.</w:t>
      </w:r>
    </w:p>
    <w:p w14:paraId="4EF8A274" w14:textId="77777777" w:rsidR="00D71E89" w:rsidRPr="00D71E89" w:rsidRDefault="00D71E89" w:rsidP="00D71E89">
      <w:pPr>
        <w:numPr>
          <w:ilvl w:val="1"/>
          <w:numId w:val="8"/>
        </w:numPr>
        <w:rPr>
          <w:lang w:val="fr-BE"/>
        </w:rPr>
      </w:pPr>
      <w:r w:rsidRPr="00D71E89">
        <w:rPr>
          <w:lang w:val="fr-BE"/>
        </w:rPr>
        <w:t>Solide connaissance des opérations minières, des équipements et des processus.</w:t>
      </w:r>
    </w:p>
    <w:p w14:paraId="337D12D5" w14:textId="77777777" w:rsidR="00D71E89" w:rsidRDefault="00D71E89" w:rsidP="00D71E89">
      <w:pPr>
        <w:numPr>
          <w:ilvl w:val="1"/>
          <w:numId w:val="8"/>
        </w:numPr>
        <w:rPr>
          <w:lang w:val="fr-BE"/>
        </w:rPr>
      </w:pPr>
      <w:r w:rsidRPr="00D71E89">
        <w:rPr>
          <w:lang w:val="fr-BE"/>
        </w:rPr>
        <w:t>Familiarité avec les réglementations et protocoles de sécurité pertinents aux opérations minières.</w:t>
      </w:r>
    </w:p>
    <w:p w14:paraId="6E1E9E90" w14:textId="77777777" w:rsidR="00CE4669" w:rsidRPr="00D71E89" w:rsidRDefault="00CE4669" w:rsidP="00CE4669">
      <w:pPr>
        <w:ind w:left="1440"/>
        <w:rPr>
          <w:lang w:val="fr-BE"/>
        </w:rPr>
      </w:pPr>
    </w:p>
    <w:p w14:paraId="60485549" w14:textId="77777777" w:rsidR="00D71E89" w:rsidRPr="00D71E89" w:rsidRDefault="00D71E89" w:rsidP="00D71E89">
      <w:pPr>
        <w:numPr>
          <w:ilvl w:val="0"/>
          <w:numId w:val="8"/>
        </w:numPr>
        <w:rPr>
          <w:lang w:val="fr-BE"/>
        </w:rPr>
      </w:pPr>
      <w:r w:rsidRPr="00D71E89">
        <w:rPr>
          <w:b/>
          <w:bCs/>
          <w:lang w:val="fr-BE"/>
        </w:rPr>
        <w:t>Communication et leadership</w:t>
      </w:r>
      <w:r w:rsidRPr="00D71E89">
        <w:rPr>
          <w:lang w:val="fr-BE"/>
        </w:rPr>
        <w:t xml:space="preserve"> :</w:t>
      </w:r>
    </w:p>
    <w:p w14:paraId="51FCBE8A" w14:textId="77777777" w:rsidR="00D71E89" w:rsidRPr="00D71E89" w:rsidRDefault="00D71E89" w:rsidP="00D71E89">
      <w:pPr>
        <w:numPr>
          <w:ilvl w:val="1"/>
          <w:numId w:val="8"/>
        </w:numPr>
        <w:rPr>
          <w:lang w:val="fr-BE"/>
        </w:rPr>
      </w:pPr>
      <w:r w:rsidRPr="00D71E89">
        <w:rPr>
          <w:lang w:val="fr-BE"/>
        </w:rPr>
        <w:t>Excellentes compétences en communication et en relations interpersonnelles pour interagir efficacement avec le personnel à tous les niveaux.</w:t>
      </w:r>
    </w:p>
    <w:p w14:paraId="682698FC" w14:textId="77777777" w:rsidR="00D71E89" w:rsidRPr="00D71E89" w:rsidRDefault="00D71E89" w:rsidP="00D71E89">
      <w:pPr>
        <w:numPr>
          <w:ilvl w:val="1"/>
          <w:numId w:val="8"/>
        </w:numPr>
        <w:rPr>
          <w:lang w:val="fr-BE"/>
        </w:rPr>
      </w:pPr>
      <w:r w:rsidRPr="00D71E89">
        <w:rPr>
          <w:lang w:val="fr-BE"/>
        </w:rPr>
        <w:t>Solides capacités de leadership et de gestion d'équipe, favorisant un environnement de travail collaboratif et axé sur les résultats.</w:t>
      </w:r>
    </w:p>
    <w:p w14:paraId="6A4744B5" w14:textId="77777777" w:rsidR="00D71E89" w:rsidRDefault="00D71E89" w:rsidP="00CE4669">
      <w:pPr>
        <w:numPr>
          <w:ilvl w:val="1"/>
          <w:numId w:val="8"/>
        </w:numPr>
        <w:rPr>
          <w:lang w:val="fr-BE"/>
        </w:rPr>
      </w:pPr>
      <w:r w:rsidRPr="00D71E89">
        <w:rPr>
          <w:lang w:val="fr-BE"/>
        </w:rPr>
        <w:t>Capacité à motiver et inspirer le personnel des quarts de travail pour atteindre les obje</w:t>
      </w:r>
      <w:r w:rsidR="00CE4669">
        <w:rPr>
          <w:lang w:val="fr-BE"/>
        </w:rPr>
        <w:t>ctifs</w:t>
      </w:r>
    </w:p>
    <w:p w14:paraId="2CCA3217" w14:textId="77777777" w:rsidR="00CE4669" w:rsidRDefault="00CE4669" w:rsidP="00CE4669">
      <w:pPr>
        <w:rPr>
          <w:lang w:val="fr-BE"/>
        </w:rPr>
      </w:pPr>
    </w:p>
    <w:p w14:paraId="1794299E" w14:textId="77777777" w:rsidR="00CE4669" w:rsidRPr="00CE4669" w:rsidRDefault="00CE4669" w:rsidP="00CE4669">
      <w:pPr>
        <w:numPr>
          <w:ilvl w:val="0"/>
          <w:numId w:val="8"/>
        </w:numPr>
        <w:rPr>
          <w:lang w:val="fr-BE"/>
        </w:rPr>
      </w:pPr>
      <w:r w:rsidRPr="00CE4669">
        <w:rPr>
          <w:b/>
          <w:bCs/>
          <w:lang w:val="fr-BE"/>
        </w:rPr>
        <w:t>Formation et expérience :</w:t>
      </w:r>
    </w:p>
    <w:p w14:paraId="2A0D50BE" w14:textId="77777777" w:rsidR="00CE4669" w:rsidRPr="00CE4669" w:rsidRDefault="00CE4669" w:rsidP="00CE4669">
      <w:pPr>
        <w:numPr>
          <w:ilvl w:val="0"/>
          <w:numId w:val="8"/>
        </w:numPr>
        <w:rPr>
          <w:lang w:val="fr-BE"/>
        </w:rPr>
      </w:pPr>
      <w:r w:rsidRPr="00CE4669">
        <w:rPr>
          <w:lang w:val="fr-BE"/>
        </w:rPr>
        <w:t>Minimum de 3 à 5 ans d'expérience en tant que Responsable de Site Minier.</w:t>
      </w:r>
    </w:p>
    <w:p w14:paraId="5BDF414B" w14:textId="77777777" w:rsidR="00CE4669" w:rsidRPr="00CE4669" w:rsidRDefault="00CE4669" w:rsidP="00CE4669">
      <w:pPr>
        <w:numPr>
          <w:ilvl w:val="0"/>
          <w:numId w:val="8"/>
        </w:numPr>
        <w:rPr>
          <w:lang w:val="fr-BE"/>
        </w:rPr>
      </w:pPr>
      <w:r w:rsidRPr="00CE4669">
        <w:rPr>
          <w:lang w:val="fr-BE"/>
        </w:rPr>
        <w:t>Minimum de 5 à 7 ans d'expérience pratique en maintenance, révision et dépannage des modèles d'équipements de la flotte confiée.</w:t>
      </w:r>
    </w:p>
    <w:p w14:paraId="1ED8C3E6" w14:textId="77777777" w:rsidR="00CE4669" w:rsidRPr="00CE4669" w:rsidRDefault="00CE4669" w:rsidP="00CE4669">
      <w:pPr>
        <w:numPr>
          <w:ilvl w:val="0"/>
          <w:numId w:val="8"/>
        </w:numPr>
        <w:rPr>
          <w:lang w:val="fr-BE"/>
        </w:rPr>
      </w:pPr>
      <w:r w:rsidRPr="00CE4669">
        <w:rPr>
          <w:lang w:val="fr-BE"/>
        </w:rPr>
        <w:t>Solide connaissance des opérations minières, des équipements et des processus.</w:t>
      </w:r>
    </w:p>
    <w:p w14:paraId="7CE0065F" w14:textId="77777777" w:rsidR="00CE4669" w:rsidRDefault="00CE4669" w:rsidP="00CE4669">
      <w:pPr>
        <w:numPr>
          <w:ilvl w:val="0"/>
          <w:numId w:val="8"/>
        </w:numPr>
        <w:rPr>
          <w:lang w:val="fr-BE"/>
        </w:rPr>
      </w:pPr>
      <w:r w:rsidRPr="00CE4669">
        <w:rPr>
          <w:lang w:val="fr-BE"/>
        </w:rPr>
        <w:t>Familiarité avec les réglementations et protocoles de sécurité pertinents aux opérations minières.</w:t>
      </w:r>
    </w:p>
    <w:p w14:paraId="192462A9" w14:textId="243AB628" w:rsidR="00CE4669" w:rsidRDefault="00CE4669" w:rsidP="00CE4669">
      <w:pPr>
        <w:numPr>
          <w:ilvl w:val="0"/>
          <w:numId w:val="8"/>
        </w:numPr>
        <w:rPr>
          <w:lang w:val="fr-BE"/>
        </w:rPr>
      </w:pPr>
      <w:r>
        <w:rPr>
          <w:lang w:val="fr-BE"/>
        </w:rPr>
        <w:t>Niveau d’</w:t>
      </w:r>
      <w:proofErr w:type="spellStart"/>
      <w:r>
        <w:rPr>
          <w:lang w:val="fr-BE"/>
        </w:rPr>
        <w:t>etude</w:t>
      </w:r>
      <w:proofErr w:type="spellEnd"/>
      <w:r>
        <w:rPr>
          <w:lang w:val="fr-BE"/>
        </w:rPr>
        <w:t xml:space="preserve"> bac +2 minimum</w:t>
      </w:r>
    </w:p>
    <w:p w14:paraId="51243010" w14:textId="77777777" w:rsidR="00CE4669" w:rsidRPr="00CE4669" w:rsidRDefault="00CE4669" w:rsidP="00CE4669">
      <w:pPr>
        <w:ind w:left="720"/>
        <w:rPr>
          <w:lang w:val="fr-BE"/>
        </w:rPr>
      </w:pPr>
    </w:p>
    <w:p w14:paraId="39617714" w14:textId="77777777" w:rsidR="00CE4669" w:rsidRPr="00CE4669" w:rsidRDefault="00CE4669" w:rsidP="00CE4669">
      <w:pPr>
        <w:numPr>
          <w:ilvl w:val="0"/>
          <w:numId w:val="8"/>
        </w:numPr>
        <w:rPr>
          <w:lang w:val="fr-BE"/>
        </w:rPr>
      </w:pPr>
      <w:r w:rsidRPr="00CE4669">
        <w:rPr>
          <w:b/>
          <w:bCs/>
          <w:lang w:val="fr-BE"/>
        </w:rPr>
        <w:t>Communication et leadership :</w:t>
      </w:r>
    </w:p>
    <w:p w14:paraId="6B220AD0" w14:textId="77777777" w:rsidR="00CE4669" w:rsidRPr="00CE4669" w:rsidRDefault="00CE4669" w:rsidP="00CE4669">
      <w:pPr>
        <w:numPr>
          <w:ilvl w:val="0"/>
          <w:numId w:val="8"/>
        </w:numPr>
        <w:rPr>
          <w:lang w:val="fr-BE"/>
        </w:rPr>
      </w:pPr>
      <w:r w:rsidRPr="00CE4669">
        <w:rPr>
          <w:lang w:val="fr-BE"/>
        </w:rPr>
        <w:t>Excellentes compétences en communication et en relations interpersonnelles pour interagir efficacement avec le personnel à tous les niveaux.</w:t>
      </w:r>
    </w:p>
    <w:p w14:paraId="1405B185" w14:textId="77777777" w:rsidR="00CE4669" w:rsidRPr="00CE4669" w:rsidRDefault="00CE4669" w:rsidP="00CE4669">
      <w:pPr>
        <w:numPr>
          <w:ilvl w:val="0"/>
          <w:numId w:val="8"/>
        </w:numPr>
        <w:rPr>
          <w:lang w:val="fr-BE"/>
        </w:rPr>
      </w:pPr>
      <w:r w:rsidRPr="00CE4669">
        <w:rPr>
          <w:lang w:val="fr-BE"/>
        </w:rPr>
        <w:t>Solides capacités de leadership et de gestion d'équipe, favorisant un environnement de travail collaboratif et axé sur les résultats.</w:t>
      </w:r>
    </w:p>
    <w:p w14:paraId="3977FAC8" w14:textId="77777777" w:rsidR="00CE4669" w:rsidRDefault="00CE4669" w:rsidP="00CE4669">
      <w:pPr>
        <w:numPr>
          <w:ilvl w:val="0"/>
          <w:numId w:val="8"/>
        </w:numPr>
        <w:rPr>
          <w:lang w:val="fr-BE"/>
        </w:rPr>
      </w:pPr>
      <w:r w:rsidRPr="00CE4669">
        <w:rPr>
          <w:lang w:val="fr-BE"/>
        </w:rPr>
        <w:t>Aptitude à motiver et inspirer le personnel posté pour atteindre les objectifs de fiabilité et de sécurité.</w:t>
      </w:r>
    </w:p>
    <w:p w14:paraId="7119DD5F" w14:textId="77777777" w:rsidR="00CE4669" w:rsidRPr="00CE4669" w:rsidRDefault="00CE4669" w:rsidP="00CE4669">
      <w:pPr>
        <w:ind w:left="720"/>
        <w:rPr>
          <w:lang w:val="fr-BE"/>
        </w:rPr>
      </w:pPr>
    </w:p>
    <w:p w14:paraId="4ADC9EBA" w14:textId="77777777" w:rsidR="00CE4669" w:rsidRPr="00CE4669" w:rsidRDefault="00CE4669" w:rsidP="00CE4669">
      <w:pPr>
        <w:numPr>
          <w:ilvl w:val="0"/>
          <w:numId w:val="8"/>
        </w:numPr>
        <w:rPr>
          <w:lang w:val="fr-BE"/>
        </w:rPr>
      </w:pPr>
      <w:r w:rsidRPr="00CE4669">
        <w:rPr>
          <w:b/>
          <w:bCs/>
          <w:lang w:val="fr-BE"/>
        </w:rPr>
        <w:t>Analyse et résolution de problèmes :</w:t>
      </w:r>
    </w:p>
    <w:p w14:paraId="0CC217C5" w14:textId="77777777" w:rsidR="00CE4669" w:rsidRPr="00CE4669" w:rsidRDefault="00CE4669" w:rsidP="00CE4669">
      <w:pPr>
        <w:numPr>
          <w:ilvl w:val="0"/>
          <w:numId w:val="8"/>
        </w:numPr>
        <w:rPr>
          <w:lang w:val="fr-BE"/>
        </w:rPr>
      </w:pPr>
      <w:r w:rsidRPr="00CE4669">
        <w:rPr>
          <w:lang w:val="fr-BE"/>
        </w:rPr>
        <w:t>Solides compétences analytiques et en résolution de problèmes pour identifier les problèmes, évaluer les options et prendre des décisions éclairées.</w:t>
      </w:r>
    </w:p>
    <w:p w14:paraId="0D169E03" w14:textId="77777777" w:rsidR="00CE4669" w:rsidRDefault="00CE4669" w:rsidP="00CE4669">
      <w:pPr>
        <w:numPr>
          <w:ilvl w:val="0"/>
          <w:numId w:val="8"/>
        </w:numPr>
        <w:rPr>
          <w:lang w:val="fr-BE"/>
        </w:rPr>
      </w:pPr>
      <w:r w:rsidRPr="00CE4669">
        <w:rPr>
          <w:lang w:val="fr-BE"/>
        </w:rPr>
        <w:t>Capacité à analyser les données et les métriques de fiabilité pour identifier les tendances, les inefficacités et les domaines à améliorer.</w:t>
      </w:r>
    </w:p>
    <w:p w14:paraId="43EBB794" w14:textId="77777777" w:rsidR="00CE4669" w:rsidRDefault="00CE4669" w:rsidP="00CE4669">
      <w:pPr>
        <w:rPr>
          <w:lang w:val="fr-BE"/>
        </w:rPr>
      </w:pPr>
    </w:p>
    <w:p w14:paraId="0B467ACE" w14:textId="77777777" w:rsidR="00CE4669" w:rsidRDefault="00CE4669" w:rsidP="00CE4669">
      <w:pPr>
        <w:rPr>
          <w:lang w:val="fr-BE"/>
        </w:rPr>
      </w:pPr>
    </w:p>
    <w:p w14:paraId="5BA16FFB" w14:textId="77777777" w:rsidR="00CE4669" w:rsidRPr="00CE4669" w:rsidRDefault="00CE4669" w:rsidP="00CE4669">
      <w:pPr>
        <w:rPr>
          <w:lang w:val="fr-BE"/>
        </w:rPr>
      </w:pPr>
    </w:p>
    <w:p w14:paraId="37B88A78" w14:textId="77777777" w:rsidR="00CE4669" w:rsidRPr="00CE4669" w:rsidRDefault="00CE4669" w:rsidP="00CE4669">
      <w:pPr>
        <w:numPr>
          <w:ilvl w:val="0"/>
          <w:numId w:val="8"/>
        </w:numPr>
        <w:rPr>
          <w:lang w:val="fr-BE"/>
        </w:rPr>
      </w:pPr>
      <w:r w:rsidRPr="00CE4669">
        <w:rPr>
          <w:b/>
          <w:bCs/>
          <w:lang w:val="fr-BE"/>
        </w:rPr>
        <w:t>Organisation et gestion du temps :</w:t>
      </w:r>
    </w:p>
    <w:p w14:paraId="3DA4EBF8" w14:textId="77777777" w:rsidR="00CE4669" w:rsidRPr="00CE4669" w:rsidRDefault="00CE4669" w:rsidP="00CE4669">
      <w:pPr>
        <w:numPr>
          <w:ilvl w:val="0"/>
          <w:numId w:val="8"/>
        </w:numPr>
        <w:rPr>
          <w:lang w:val="fr-BE"/>
        </w:rPr>
      </w:pPr>
      <w:r w:rsidRPr="00CE4669">
        <w:rPr>
          <w:lang w:val="fr-BE"/>
        </w:rPr>
        <w:lastRenderedPageBreak/>
        <w:t>Compétences organisationnelles et de gestion du temps efficaces pour prioriser les tâches, respecter les délais et gérer de multiples responsabilités.</w:t>
      </w:r>
    </w:p>
    <w:p w14:paraId="7AFD62C8" w14:textId="77777777" w:rsidR="00CE4669" w:rsidRPr="00CE4669" w:rsidRDefault="00CE4669" w:rsidP="00CE4669">
      <w:pPr>
        <w:numPr>
          <w:ilvl w:val="0"/>
          <w:numId w:val="8"/>
        </w:numPr>
        <w:rPr>
          <w:lang w:val="fr-BE"/>
        </w:rPr>
      </w:pPr>
      <w:r w:rsidRPr="00CE4669">
        <w:rPr>
          <w:lang w:val="fr-BE"/>
        </w:rPr>
        <w:t>Capacité à s'adapter aux priorités changeantes et à gérer la pression dans un environnement minier dynamique.</w:t>
      </w:r>
    </w:p>
    <w:p w14:paraId="65C37CC1" w14:textId="77777777" w:rsidR="00CE4669" w:rsidRPr="00CE4669" w:rsidRDefault="00CE4669" w:rsidP="00CE4669">
      <w:pPr>
        <w:numPr>
          <w:ilvl w:val="0"/>
          <w:numId w:val="8"/>
        </w:numPr>
        <w:rPr>
          <w:lang w:val="fr-BE"/>
        </w:rPr>
      </w:pPr>
      <w:r w:rsidRPr="00CE4669">
        <w:rPr>
          <w:b/>
          <w:bCs/>
          <w:lang w:val="fr-BE"/>
        </w:rPr>
        <w:t>Langues :</w:t>
      </w:r>
    </w:p>
    <w:p w14:paraId="1795D9BF" w14:textId="77777777" w:rsidR="00CE4669" w:rsidRPr="00CE4669" w:rsidRDefault="00CE4669" w:rsidP="00CE4669">
      <w:pPr>
        <w:numPr>
          <w:ilvl w:val="0"/>
          <w:numId w:val="8"/>
        </w:numPr>
        <w:rPr>
          <w:lang w:val="fr-BE"/>
        </w:rPr>
      </w:pPr>
      <w:r w:rsidRPr="00CE4669">
        <w:rPr>
          <w:lang w:val="fr-BE"/>
        </w:rPr>
        <w:t>Français</w:t>
      </w:r>
    </w:p>
    <w:p w14:paraId="6ACF41DC" w14:textId="77777777" w:rsidR="00CE4669" w:rsidRPr="00CE4669" w:rsidRDefault="00CE4669" w:rsidP="00CE4669">
      <w:pPr>
        <w:numPr>
          <w:ilvl w:val="0"/>
          <w:numId w:val="8"/>
        </w:numPr>
        <w:rPr>
          <w:lang w:val="fr-BE"/>
        </w:rPr>
      </w:pPr>
      <w:r w:rsidRPr="00CE4669">
        <w:rPr>
          <w:lang w:val="fr-BE"/>
        </w:rPr>
        <w:t>Anglais</w:t>
      </w:r>
    </w:p>
    <w:p w14:paraId="25E370BA" w14:textId="2CA7B577" w:rsidR="00CE4669" w:rsidRPr="00CE4669" w:rsidRDefault="00CE4669" w:rsidP="00CE4669">
      <w:pPr>
        <w:numPr>
          <w:ilvl w:val="0"/>
          <w:numId w:val="8"/>
        </w:numPr>
        <w:rPr>
          <w:lang w:val="fr-BE"/>
        </w:rPr>
        <w:sectPr w:rsidR="00CE4669" w:rsidRPr="00CE4669">
          <w:pgSz w:w="11909" w:h="16838"/>
          <w:pgMar w:top="960" w:right="332" w:bottom="1222" w:left="1119" w:header="720" w:footer="720" w:gutter="0"/>
          <w:cols w:space="720"/>
        </w:sectPr>
      </w:pPr>
    </w:p>
    <w:p w14:paraId="409D9723" w14:textId="77777777" w:rsidR="008757DA" w:rsidRPr="00CE4669" w:rsidRDefault="008757DA">
      <w:pPr>
        <w:rPr>
          <w:lang w:val="fr-BE"/>
        </w:rPr>
        <w:sectPr w:rsidR="008757DA" w:rsidRPr="00CE4669">
          <w:pgSz w:w="11909" w:h="16838"/>
          <w:pgMar w:top="1400" w:right="332" w:bottom="7462" w:left="1119" w:header="720" w:footer="720" w:gutter="0"/>
          <w:cols w:space="720"/>
        </w:sectPr>
      </w:pPr>
    </w:p>
    <w:p w14:paraId="341CA1CD" w14:textId="77777777" w:rsidR="00D71E89" w:rsidRPr="00CE4669" w:rsidRDefault="00D71E89">
      <w:pPr>
        <w:rPr>
          <w:lang w:val="fr-BE"/>
        </w:rPr>
      </w:pPr>
    </w:p>
    <w:sectPr w:rsidR="00D71E89" w:rsidRPr="00CE4669">
      <w:pgSz w:w="11909" w:h="16838"/>
      <w:pgMar w:top="1400" w:right="332" w:bottom="5422"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C033" w14:textId="77777777" w:rsidR="00D71E89" w:rsidRDefault="00D71E89">
      <w:r>
        <w:separator/>
      </w:r>
    </w:p>
  </w:endnote>
  <w:endnote w:type="continuationSeparator" w:id="0">
    <w:p w14:paraId="6935C2C5" w14:textId="77777777" w:rsidR="00D71E89" w:rsidRDefault="00D7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DFA5" w14:textId="77777777" w:rsidR="008757DA" w:rsidRDefault="008757DA"/>
  </w:footnote>
  <w:footnote w:type="continuationSeparator" w:id="0">
    <w:p w14:paraId="6459E7FF" w14:textId="77777777" w:rsidR="008757DA" w:rsidRDefault="00D7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AE7"/>
    <w:multiLevelType w:val="multilevel"/>
    <w:tmpl w:val="91088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35E3C"/>
    <w:multiLevelType w:val="multilevel"/>
    <w:tmpl w:val="D6B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149E9"/>
    <w:multiLevelType w:val="multilevel"/>
    <w:tmpl w:val="8938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01DBD"/>
    <w:multiLevelType w:val="multilevel"/>
    <w:tmpl w:val="3C7C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95D83"/>
    <w:multiLevelType w:val="multilevel"/>
    <w:tmpl w:val="47003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E2684"/>
    <w:multiLevelType w:val="multilevel"/>
    <w:tmpl w:val="BDC6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762AC"/>
    <w:multiLevelType w:val="multilevel"/>
    <w:tmpl w:val="736E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4173B"/>
    <w:multiLevelType w:val="multilevel"/>
    <w:tmpl w:val="CD54C020"/>
    <w:lvl w:ilvl="0">
      <w:numFmt w:val="bullet"/>
      <w:lvlText w:val="·"/>
      <w:lvlJc w:val="left"/>
      <w:pPr>
        <w:tabs>
          <w:tab w:val="left" w:pos="216"/>
        </w:tabs>
      </w:pPr>
      <w:rPr>
        <w:rFonts w:ascii="Symbol" w:eastAsia="Symbol" w:hAnsi="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8B46FF"/>
    <w:multiLevelType w:val="multilevel"/>
    <w:tmpl w:val="B6CA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E2C26"/>
    <w:multiLevelType w:val="multilevel"/>
    <w:tmpl w:val="E1B6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35323"/>
    <w:multiLevelType w:val="multilevel"/>
    <w:tmpl w:val="7F0A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C15AA"/>
    <w:multiLevelType w:val="multilevel"/>
    <w:tmpl w:val="B6AA36EC"/>
    <w:lvl w:ilvl="0">
      <w:numFmt w:val="bullet"/>
      <w:lvlText w:val="·"/>
      <w:lvlJc w:val="left"/>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CB5BA8"/>
    <w:multiLevelType w:val="multilevel"/>
    <w:tmpl w:val="FEF6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702640">
    <w:abstractNumId w:val="7"/>
  </w:num>
  <w:num w:numId="2" w16cid:durableId="1263994881">
    <w:abstractNumId w:val="11"/>
  </w:num>
  <w:num w:numId="3" w16cid:durableId="109129047">
    <w:abstractNumId w:val="9"/>
  </w:num>
  <w:num w:numId="4" w16cid:durableId="1951038085">
    <w:abstractNumId w:val="3"/>
  </w:num>
  <w:num w:numId="5" w16cid:durableId="456677949">
    <w:abstractNumId w:val="0"/>
  </w:num>
  <w:num w:numId="6" w16cid:durableId="1972855980">
    <w:abstractNumId w:val="1"/>
  </w:num>
  <w:num w:numId="7" w16cid:durableId="1750999042">
    <w:abstractNumId w:val="12"/>
  </w:num>
  <w:num w:numId="8" w16cid:durableId="1974754123">
    <w:abstractNumId w:val="4"/>
  </w:num>
  <w:num w:numId="9" w16cid:durableId="244071398">
    <w:abstractNumId w:val="10"/>
  </w:num>
  <w:num w:numId="10" w16cid:durableId="549192191">
    <w:abstractNumId w:val="5"/>
  </w:num>
  <w:num w:numId="11" w16cid:durableId="828329008">
    <w:abstractNumId w:val="6"/>
  </w:num>
  <w:num w:numId="12" w16cid:durableId="1751268580">
    <w:abstractNumId w:val="2"/>
  </w:num>
  <w:num w:numId="13" w16cid:durableId="494296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DA"/>
    <w:rsid w:val="00060D93"/>
    <w:rsid w:val="008757DA"/>
    <w:rsid w:val="00CE4669"/>
    <w:rsid w:val="00D71E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632F"/>
  <w15:docId w15:val="{0260675A-D0C4-46AA-9429-D657101F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540">
      <w:bodyDiv w:val="1"/>
      <w:marLeft w:val="0"/>
      <w:marRight w:val="0"/>
      <w:marTop w:val="0"/>
      <w:marBottom w:val="0"/>
      <w:divBdr>
        <w:top w:val="none" w:sz="0" w:space="0" w:color="auto"/>
        <w:left w:val="none" w:sz="0" w:space="0" w:color="auto"/>
        <w:bottom w:val="none" w:sz="0" w:space="0" w:color="auto"/>
        <w:right w:val="none" w:sz="0" w:space="0" w:color="auto"/>
      </w:divBdr>
    </w:div>
    <w:div w:id="515120319">
      <w:bodyDiv w:val="1"/>
      <w:marLeft w:val="0"/>
      <w:marRight w:val="0"/>
      <w:marTop w:val="0"/>
      <w:marBottom w:val="0"/>
      <w:divBdr>
        <w:top w:val="none" w:sz="0" w:space="0" w:color="auto"/>
        <w:left w:val="none" w:sz="0" w:space="0" w:color="auto"/>
        <w:bottom w:val="none" w:sz="0" w:space="0" w:color="auto"/>
        <w:right w:val="none" w:sz="0" w:space="0" w:color="auto"/>
      </w:divBdr>
    </w:div>
    <w:div w:id="683702272">
      <w:bodyDiv w:val="1"/>
      <w:marLeft w:val="0"/>
      <w:marRight w:val="0"/>
      <w:marTop w:val="0"/>
      <w:marBottom w:val="0"/>
      <w:divBdr>
        <w:top w:val="none" w:sz="0" w:space="0" w:color="auto"/>
        <w:left w:val="none" w:sz="0" w:space="0" w:color="auto"/>
        <w:bottom w:val="none" w:sz="0" w:space="0" w:color="auto"/>
        <w:right w:val="none" w:sz="0" w:space="0" w:color="auto"/>
      </w:divBdr>
    </w:div>
    <w:div w:id="1144614963">
      <w:bodyDiv w:val="1"/>
      <w:marLeft w:val="0"/>
      <w:marRight w:val="0"/>
      <w:marTop w:val="0"/>
      <w:marBottom w:val="0"/>
      <w:divBdr>
        <w:top w:val="none" w:sz="0" w:space="0" w:color="auto"/>
        <w:left w:val="none" w:sz="0" w:space="0" w:color="auto"/>
        <w:bottom w:val="none" w:sz="0" w:space="0" w:color="auto"/>
        <w:right w:val="none" w:sz="0" w:space="0" w:color="auto"/>
      </w:divBdr>
    </w:div>
    <w:div w:id="1646004328">
      <w:bodyDiv w:val="1"/>
      <w:marLeft w:val="0"/>
      <w:marRight w:val="0"/>
      <w:marTop w:val="0"/>
      <w:marBottom w:val="0"/>
      <w:divBdr>
        <w:top w:val="none" w:sz="0" w:space="0" w:color="auto"/>
        <w:left w:val="none" w:sz="0" w:space="0" w:color="auto"/>
        <w:bottom w:val="none" w:sz="0" w:space="0" w:color="auto"/>
        <w:right w:val="none" w:sz="0" w:space="0" w:color="auto"/>
      </w:divBdr>
    </w:div>
    <w:div w:id="178352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1164</Words>
  <Characters>6403</Characters>
  <Application>Microsoft Office Word</Application>
  <DocSecurity>4</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Sales Manager</dc:title>
  <dc:creator>Valerie Hainaut</dc:creator>
  <cp:keywords>JD; Generic; SAV</cp:keywords>
  <cp:lastModifiedBy>Nicolas Turpin</cp:lastModifiedBy>
  <cp:revision>2</cp:revision>
  <dcterms:created xsi:type="dcterms:W3CDTF">2025-01-17T15:38:00Z</dcterms:created>
  <dcterms:modified xsi:type="dcterms:W3CDTF">2025-01-17T15:38:00Z</dcterms:modified>
</cp:coreProperties>
</file>